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pPr w:leftFromText="180" w:rightFromText="180" w:horzAnchor="margin" w:tblpY="-540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701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pStyle w:val="2"/>
              <w:rPr>
                <w:sz w:val="8"/>
              </w:rPr>
            </w:pPr>
            <w:r>
              <w:t>РЕСПУБЛИКА АДЫГЕЯ</w:t>
            </w:r>
          </w:p>
          <w:p>
            <w:pPr>
              <w:jc w:val="center"/>
              <w:rPr>
                <w:b/>
                <w:sz w:val="8"/>
              </w:rPr>
            </w:pPr>
          </w:p>
          <w:p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>
            <w:pPr>
              <w:pStyle w:val="2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/>
          <w:p>
            <w:pPr>
              <w:jc w:val="center"/>
              <w:rPr>
                <w:sz w:val="20"/>
                <w:lang w:eastAsia="ru-RU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style="position:absolute;left:0pt;margin-left:-1.45pt;margin-top:2.15pt;height:0pt;width:483.75pt;z-index:251659264;mso-width-relative:page;mso-height-relative:page;" filled="f" stroked="t" coordsize="21600,21600" o:gfxdata="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Ko0C7SAAAABgEAAA8AAAAAAAAAAQAgAAAAIgAA&#10;AGRycy9kb3ducmV2LnhtbFBLAQIUABQAAAAIAIdO4kBAQehi1QEAALEDAAAOAAAAAAAAAAEAIAAA&#10;ACEBAABkcnMvZTJvRG9jLnhtbFBLBQYAAAAABgAGAFkBAABoBQAAAAA=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2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2"/>
              </w:rPr>
            </w:pPr>
            <w:bookmarkStart w:id="0" w:name="_1054467022"/>
            <w:bookmarkEnd w:id="0"/>
            <w:r>
              <w:object>
                <v:shape id="_x0000_i1025" o:spt="75" type="#_x0000_t75" style="height:64.5pt;width:64.5pt;" o:ole="t" filled="t" o:preferrelative="t" stroked="f" coordsize="21600,21600">
                  <v:path/>
                  <v:fill on="t" color2="#000000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4961" w:type="dxa"/>
            <w:shd w:val="clear" w:color="auto" w:fill="auto"/>
          </w:tcPr>
          <w:p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>
            <w:pPr>
              <w:pStyle w:val="2"/>
              <w:jc w:val="left"/>
            </w:pPr>
            <w:r>
              <w:rPr>
                <w:sz w:val="8"/>
              </w:rPr>
              <w:t xml:space="preserve">                              </w:t>
            </w:r>
            <w:r>
              <w:t>Муниципальнэ образованиеу</w:t>
            </w:r>
          </w:p>
          <w:p>
            <w:pPr>
              <w:pStyle w:val="2"/>
              <w:jc w:val="left"/>
            </w:pPr>
            <w:r>
              <w:t xml:space="preserve">    «Джэджэ районым»  иадминистрацие</w:t>
            </w: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sz w:val="27"/>
          <w:szCs w:val="27"/>
          <w:u w:val="single"/>
        </w:rPr>
      </w:pPr>
      <w:r>
        <w:rPr>
          <w:b/>
          <w:sz w:val="27"/>
          <w:szCs w:val="27"/>
        </w:rPr>
        <w:t>ПОСТАНОВЛЕНИЕ</w:t>
      </w:r>
    </w:p>
    <w:p>
      <w:pPr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от </w:t>
      </w:r>
      <w:r>
        <w:rPr>
          <w:rFonts w:hint="default"/>
          <w:sz w:val="27"/>
          <w:szCs w:val="27"/>
          <w:lang w:val="en-US"/>
        </w:rPr>
        <w:t xml:space="preserve">03 </w:t>
      </w:r>
      <w:r>
        <w:rPr>
          <w:rFonts w:hint="default"/>
          <w:sz w:val="27"/>
          <w:szCs w:val="27"/>
          <w:lang w:val="ru-RU"/>
        </w:rPr>
        <w:t>апреля</w:t>
      </w:r>
      <w:r>
        <w:rPr>
          <w:sz w:val="27"/>
          <w:szCs w:val="27"/>
        </w:rPr>
        <w:t xml:space="preserve"> 202</w:t>
      </w:r>
      <w:r>
        <w:rPr>
          <w:rFonts w:hint="default"/>
          <w:sz w:val="27"/>
          <w:szCs w:val="27"/>
          <w:lang w:val="en-US"/>
        </w:rPr>
        <w:t>3</w:t>
      </w:r>
      <w:r>
        <w:rPr>
          <w:sz w:val="27"/>
          <w:szCs w:val="27"/>
        </w:rPr>
        <w:t xml:space="preserve"> года № </w:t>
      </w:r>
      <w:r>
        <w:rPr>
          <w:rFonts w:hint="default"/>
          <w:sz w:val="27"/>
          <w:szCs w:val="27"/>
          <w:lang w:val="ru-RU"/>
        </w:rPr>
        <w:t>96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ст. Гиагинская</w:t>
      </w:r>
    </w:p>
    <w:p>
      <w:pPr>
        <w:jc w:val="center"/>
        <w:rPr>
          <w:rFonts w:hint="default"/>
          <w:b/>
          <w:sz w:val="27"/>
          <w:szCs w:val="27"/>
          <w:lang w:val="ru-RU"/>
        </w:rPr>
      </w:pPr>
      <w:bookmarkStart w:id="8" w:name="_GoBack"/>
      <w:r>
        <w:rPr>
          <w:b/>
          <w:sz w:val="27"/>
          <w:szCs w:val="27"/>
        </w:rPr>
        <w:t xml:space="preserve">«О внесении изменений в постановление главы </w:t>
      </w:r>
      <w:r>
        <w:rPr>
          <w:b/>
          <w:bCs w:val="0"/>
          <w:sz w:val="27"/>
          <w:szCs w:val="27"/>
        </w:rPr>
        <w:t>муниципального образования</w:t>
      </w:r>
      <w:r>
        <w:rPr>
          <w:b/>
          <w:sz w:val="27"/>
          <w:szCs w:val="27"/>
        </w:rPr>
        <w:t xml:space="preserve"> «Гиагинский район» от 16 декабря 2019 года № 340 «Об утверждении муниципальной программы </w:t>
      </w:r>
      <w:r>
        <w:rPr>
          <w:b/>
          <w:bCs w:val="0"/>
          <w:sz w:val="27"/>
          <w:szCs w:val="27"/>
        </w:rPr>
        <w:t>муниципального образования</w:t>
      </w:r>
      <w:r>
        <w:rPr>
          <w:b/>
          <w:sz w:val="27"/>
          <w:szCs w:val="27"/>
        </w:rPr>
        <w:t xml:space="preserve"> «Гиагинский район» «Развитие информатизации»</w:t>
      </w:r>
      <w:r>
        <w:rPr>
          <w:rFonts w:hint="default"/>
          <w:b/>
          <w:sz w:val="27"/>
          <w:szCs w:val="27"/>
          <w:lang w:val="ru-RU"/>
        </w:rPr>
        <w:t xml:space="preserve"> </w:t>
      </w:r>
    </w:p>
    <w:p>
      <w:pPr>
        <w:jc w:val="center"/>
        <w:rPr>
          <w:b/>
          <w:bCs w:val="0"/>
          <w:sz w:val="27"/>
          <w:szCs w:val="27"/>
        </w:rPr>
      </w:pPr>
      <w:r>
        <w:rPr>
          <w:rFonts w:hint="default"/>
          <w:b/>
          <w:sz w:val="27"/>
          <w:szCs w:val="27"/>
          <w:lang w:val="ru-RU"/>
        </w:rPr>
        <w:t xml:space="preserve">(в редакции постановления </w:t>
      </w:r>
      <w:r>
        <w:rPr>
          <w:b/>
          <w:sz w:val="27"/>
          <w:szCs w:val="27"/>
        </w:rPr>
        <w:t xml:space="preserve">главы </w:t>
      </w:r>
      <w:r>
        <w:rPr>
          <w:b/>
          <w:bCs w:val="0"/>
          <w:sz w:val="27"/>
          <w:szCs w:val="27"/>
        </w:rPr>
        <w:t xml:space="preserve">муниципального </w:t>
      </w:r>
    </w:p>
    <w:p>
      <w:pPr>
        <w:jc w:val="center"/>
        <w:rPr>
          <w:rFonts w:hint="default"/>
          <w:b/>
          <w:sz w:val="27"/>
          <w:szCs w:val="27"/>
          <w:lang w:val="ru-RU"/>
        </w:rPr>
      </w:pPr>
      <w:r>
        <w:rPr>
          <w:b/>
          <w:bCs w:val="0"/>
          <w:sz w:val="27"/>
          <w:szCs w:val="27"/>
        </w:rPr>
        <w:t>образования</w:t>
      </w:r>
      <w:r>
        <w:rPr>
          <w:rFonts w:hint="default"/>
          <w:b/>
          <w:bCs w:val="0"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</w:rPr>
        <w:t xml:space="preserve">«Гиагинский район» от </w:t>
      </w:r>
      <w:r>
        <w:rPr>
          <w:rFonts w:hint="default"/>
          <w:b/>
          <w:sz w:val="27"/>
          <w:szCs w:val="27"/>
          <w:lang w:val="ru-RU"/>
        </w:rPr>
        <w:t>29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ru-RU"/>
        </w:rPr>
        <w:t>августа</w:t>
      </w:r>
      <w:r>
        <w:rPr>
          <w:b/>
          <w:sz w:val="27"/>
          <w:szCs w:val="27"/>
        </w:rPr>
        <w:t xml:space="preserve"> 20</w:t>
      </w:r>
      <w:r>
        <w:rPr>
          <w:rFonts w:hint="default"/>
          <w:b/>
          <w:sz w:val="27"/>
          <w:szCs w:val="27"/>
          <w:lang w:val="ru-RU"/>
        </w:rPr>
        <w:t>22</w:t>
      </w:r>
      <w:r>
        <w:rPr>
          <w:b/>
          <w:sz w:val="27"/>
          <w:szCs w:val="27"/>
        </w:rPr>
        <w:t xml:space="preserve"> года №</w:t>
      </w:r>
      <w:r>
        <w:rPr>
          <w:rFonts w:hint="default"/>
          <w:b/>
          <w:sz w:val="27"/>
          <w:szCs w:val="27"/>
          <w:lang w:val="ru-RU"/>
        </w:rPr>
        <w:t>224</w:t>
      </w:r>
    </w:p>
    <w:bookmarkEnd w:id="8"/>
    <w:p>
      <w:pPr>
        <w:jc w:val="both"/>
        <w:rPr>
          <w:bCs/>
          <w:color w:val="000000"/>
          <w:kern w:val="1"/>
          <w:sz w:val="27"/>
          <w:szCs w:val="27"/>
          <w:lang w:eastAsia="hi-IN" w:bidi="hi-IN"/>
        </w:rPr>
      </w:pPr>
    </w:p>
    <w:p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от 27.08.2013 года № 103</w:t>
      </w:r>
      <w:r>
        <w:rPr>
          <w:b/>
          <w:bCs/>
          <w:sz w:val="27"/>
          <w:szCs w:val="27"/>
        </w:rPr>
        <w:t xml:space="preserve"> «</w:t>
      </w:r>
      <w:r>
        <w:rPr>
          <w:bCs/>
          <w:sz w:val="27"/>
          <w:szCs w:val="27"/>
        </w:rPr>
        <w:t xml:space="preserve"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 и решением совета народных депутатов муниципального образования «Гиагинский район» от «31» марта 2022 года № 559 </w:t>
      </w:r>
      <w:r>
        <w:rPr>
          <w:bCs/>
          <w:szCs w:val="28"/>
        </w:rPr>
        <w:t>«</w:t>
      </w:r>
      <w:r>
        <w:rPr>
          <w:szCs w:val="28"/>
        </w:rPr>
        <w:t>О внесении изменений  и дополнений в решение Совета народных депутатов муниципального образования «Гиагинский район» от 23.12.2021 года № 517  «О бюджете муниципального образования «Гиагинский район» на 2022 год и на плановый период 2023 и 2024 годов»</w:t>
      </w:r>
      <w:r>
        <w:rPr>
          <w:bCs/>
          <w:szCs w:val="28"/>
        </w:rPr>
        <w:t>.</w:t>
      </w:r>
      <w:r>
        <w:rPr>
          <w:bCs/>
          <w:sz w:val="27"/>
          <w:szCs w:val="27"/>
        </w:rPr>
        <w:t>.</w:t>
      </w:r>
    </w:p>
    <w:p>
      <w:pPr>
        <w:jc w:val="both"/>
        <w:rPr>
          <w:b/>
          <w:sz w:val="20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постановляю:</w:t>
      </w:r>
    </w:p>
    <w:p>
      <w:pPr>
        <w:jc w:val="center"/>
        <w:rPr>
          <w:b/>
          <w:sz w:val="20"/>
        </w:rPr>
      </w:pP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1. Внести в постановление главы </w:t>
      </w:r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«Гиагинский район» от 16 декабря 2019 года № 340 «Об утверждении муниципальной программы </w:t>
      </w:r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«Гиагинский район» «Развитие информатизации», изложив приложение к постановлению в новой редакции (прилагается).</w:t>
      </w: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постановление опубликовать в «Информационном бюллетене МО «Гиагинский район» на сетевом источнике публикации МУП «Редакция газеты «Красное знамя», а также разместить на официальном сайте администрации </w:t>
      </w:r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«Гиагинский район».</w:t>
      </w: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постановления возложить на управляющую делами администрации </w:t>
      </w:r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«Гиагинский район».</w:t>
      </w: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p>
      <w:pPr>
        <w:tabs>
          <w:tab w:val="left" w:pos="7655"/>
          <w:tab w:val="left" w:pos="963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>
        <w:rPr>
          <w:bCs/>
          <w:sz w:val="27"/>
          <w:szCs w:val="27"/>
        </w:rPr>
        <w:t>муниципального</w:t>
      </w:r>
      <w:r>
        <w:rPr>
          <w:rFonts w:hint="default"/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</w:rPr>
        <w:t>образования</w:t>
      </w:r>
      <w:r>
        <w:rPr>
          <w:sz w:val="27"/>
          <w:szCs w:val="27"/>
        </w:rPr>
        <w:t xml:space="preserve"> </w:t>
      </w:r>
    </w:p>
    <w:p>
      <w:pPr>
        <w:tabs>
          <w:tab w:val="left" w:pos="7655"/>
          <w:tab w:val="left" w:pos="963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«Гиагинский район»                                 </w:t>
      </w:r>
      <w:r>
        <w:rPr>
          <w:rFonts w:hint="default"/>
          <w:sz w:val="27"/>
          <w:szCs w:val="27"/>
          <w:lang w:val="ru-RU"/>
        </w:rPr>
        <w:t xml:space="preserve">                      </w:t>
      </w:r>
      <w:r>
        <w:rPr>
          <w:sz w:val="27"/>
          <w:szCs w:val="27"/>
        </w:rPr>
        <w:t xml:space="preserve">                         А.Н. Таранухин</w:t>
      </w:r>
    </w:p>
    <w:p>
      <w:pPr>
        <w:rPr>
          <w:sz w:val="20"/>
        </w:rPr>
      </w:pPr>
      <w:r>
        <w:rPr>
          <w:sz w:val="20"/>
        </w:rPr>
        <w:br w:type="page"/>
      </w:r>
    </w:p>
    <w:p>
      <w:pPr>
        <w:suppressAutoHyphens w:val="0"/>
        <w:rPr>
          <w:sz w:val="27"/>
          <w:szCs w:val="27"/>
        </w:rPr>
      </w:pPr>
    </w:p>
    <w:tbl>
      <w:tblPr>
        <w:tblStyle w:val="14"/>
        <w:tblW w:w="3650" w:type="dxa"/>
        <w:tblInd w:w="63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65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к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 главы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7"/>
                <w:szCs w:val="27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«Гиагинский район»</w:t>
            </w:r>
          </w:p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От«</w:t>
            </w:r>
            <w:r>
              <w:rPr>
                <w:rFonts w:hint="default"/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>_________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rFonts w:hint="default"/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г.№</w:t>
            </w:r>
            <w:r>
              <w:rPr>
                <w:rFonts w:hint="default"/>
                <w:sz w:val="24"/>
                <w:szCs w:val="24"/>
                <w:lang w:val="en-US"/>
              </w:rPr>
              <w:t>___</w:t>
            </w:r>
          </w:p>
        </w:tc>
      </w:tr>
    </w:tbl>
    <w:p/>
    <w:p>
      <w:pPr>
        <w:pStyle w:val="2"/>
        <w:keepNext w:val="0"/>
        <w:widowControl w:val="0"/>
        <w:autoSpaceDE w:val="0"/>
        <w:spacing w:before="108" w:after="108"/>
        <w:rPr>
          <w:sz w:val="27"/>
          <w:szCs w:val="27"/>
        </w:rPr>
      </w:pPr>
      <w:bookmarkStart w:id="1" w:name="sub_100"/>
      <w:r>
        <w:rPr>
          <w:sz w:val="27"/>
          <w:szCs w:val="27"/>
        </w:rPr>
        <w:t xml:space="preserve">1. Паспорт муниципальной программы </w:t>
      </w:r>
      <w:r>
        <w:rPr>
          <w:sz w:val="27"/>
          <w:szCs w:val="27"/>
        </w:rPr>
        <w:br w:type="textWrapping"/>
      </w:r>
      <w:bookmarkEnd w:id="1"/>
      <w:r>
        <w:rPr>
          <w:bCs/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«Гиагинский район» «Развитие информатизации» </w:t>
      </w:r>
      <w:r>
        <w:rPr>
          <w:sz w:val="27"/>
          <w:szCs w:val="27"/>
        </w:rPr>
        <w:br w:type="textWrapping"/>
      </w:r>
    </w:p>
    <w:tbl>
      <w:tblPr>
        <w:tblStyle w:val="14"/>
        <w:tblW w:w="9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Отдел информационных технологий администрации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86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9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both"/>
              <w:rPr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- Администрация муниципального образования «Гиагинский район»:</w:t>
            </w:r>
          </w:p>
          <w:p>
            <w:pPr>
              <w:pStyle w:val="19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both"/>
              <w:rPr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- Управление образование и их подведомственные учреждени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:</w:t>
            </w:r>
          </w:p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Управление культуры и их подведомственные учреждени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86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- Реализация единой политики в области информатизации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«Гиагинский район»</w:t>
            </w:r>
          </w:p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86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информатизации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86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</w:t>
            </w:r>
            <w:r>
              <w:rPr>
                <w:rFonts w:hint="default" w:ascii="Times New Roman" w:hAnsi="Times New Roman" w:cs="Times New Roman" w:eastAsiaTheme="minorEastAsia"/>
                <w:b/>
                <w:sz w:val="27"/>
                <w:szCs w:val="27"/>
                <w:lang w:val="en-US" w:eastAsia="ru-RU"/>
              </w:rPr>
              <w:t>7648,7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тыс. руб.</w:t>
            </w:r>
          </w:p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Из них:</w:t>
            </w:r>
          </w:p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в 2020 году –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>1150,0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в 2021 году – 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795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,0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>
            <w:pPr>
              <w:pStyle w:val="120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в 2022 году – </w:t>
            </w:r>
            <w:r>
              <w:rPr>
                <w:rFonts w:hint="default" w:ascii="Times New Roman" w:hAnsi="Times New Roman" w:cs="Times New Roman" w:eastAsiaTheme="minorEastAsia"/>
                <w:b/>
                <w:sz w:val="27"/>
                <w:szCs w:val="27"/>
                <w:lang w:eastAsia="ru-RU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/>
                <w:sz w:val="27"/>
                <w:szCs w:val="27"/>
                <w:lang w:val="en-US" w:eastAsia="ru-RU"/>
              </w:rPr>
              <w:t>229</w:t>
            </w:r>
            <w:r>
              <w:rPr>
                <w:rFonts w:hint="default" w:ascii="Times New Roman" w:hAnsi="Times New Roman" w:cs="Times New Roman" w:eastAsiaTheme="minorEastAsia"/>
                <w:b/>
                <w:sz w:val="27"/>
                <w:szCs w:val="27"/>
                <w:lang w:eastAsia="ru-RU"/>
              </w:rPr>
              <w:t>,8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в 2023 году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–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ru-RU"/>
              </w:rPr>
              <w:t>2094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,1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 xml:space="preserve">в 2024 году – 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 xml:space="preserve">1379,8 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Повышение обеспечения органом ОМСУ информационно - телекоммуникационными технологиями;</w:t>
            </w:r>
          </w:p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повышение качества и оперативности предоставления муниципальных услуг;</w:t>
            </w:r>
          </w:p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>
            <w:pPr>
              <w:pStyle w:val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деятельности органов местного самоуправления;</w:t>
            </w:r>
          </w:p>
          <w:p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-обеспеченность персональными компьютерами;</w:t>
            </w:r>
          </w:p>
          <w:p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бесперебойной работы локально – вычислительной сети и интернета.</w:t>
            </w:r>
          </w:p>
        </w:tc>
      </w:tr>
    </w:tbl>
    <w:p>
      <w:pPr>
        <w:pStyle w:val="2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200"/>
      <w:r>
        <w:rPr>
          <w:sz w:val="28"/>
          <w:szCs w:val="28"/>
        </w:rPr>
        <w:t>2. Содержание проблемы и обоснование необходимости ее решения программным методом.</w:t>
      </w:r>
      <w:bookmarkEnd w:id="2"/>
    </w:p>
    <w:p>
      <w:pPr>
        <w:ind w:firstLine="567"/>
        <w:jc w:val="both"/>
        <w:rPr>
          <w:szCs w:val="28"/>
        </w:rPr>
      </w:pPr>
      <w:r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«Гиагинский район» установлено 10 рабочих мест с доступом к системе СМЭВ. 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>
      <w:pPr>
        <w:pStyle w:val="2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300"/>
      <w:r>
        <w:rPr>
          <w:sz w:val="28"/>
          <w:szCs w:val="28"/>
        </w:rPr>
        <w:t xml:space="preserve">3. </w:t>
      </w:r>
      <w:bookmarkEnd w:id="3"/>
      <w:r>
        <w:rPr>
          <w:sz w:val="28"/>
          <w:szCs w:val="28"/>
        </w:rPr>
        <w:t>Приоритеты государственной политики.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Настоящая программа разработана в соответствии с Федеральными законами от 06.10.2003 г. N 131-ФЗ «Об общих принципах организации местного самоуправления в Российской Федерации», от 27.07.2010 г. N 210-ФЗ «Об организации предоставления государственных и муниципальных услуг», от 27 июля 2006 г. N 149-ФЗ «Об информации, информационных технологиях и о защите информации», от 27.07.2006 № 152-ФЗ «О персональных данных».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Основные приоритеты государственной политики в сфере информатизации изложены в «Стратегии развития информационного общества в Российской Федерации» утвержденной Президентом РФ 7 февраля 2008 г. N Пр-212, в «Государственной программе Российской Федерации «Информационное общество (2011-2020 годы)» утвержденной распоряжением Правительства РФ от 15.05.2014 г. N 313, а так же в Указе Президента Российской Федерации от 7 мая 2012 года N 601 «Об основных направлениях совершенствования системы государственного управления».</w:t>
      </w:r>
    </w:p>
    <w:p>
      <w:pPr>
        <w:ind w:firstLine="567"/>
        <w:jc w:val="both"/>
        <w:rPr>
          <w:szCs w:val="28"/>
        </w:rPr>
      </w:pPr>
      <w:r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>
      <w:pPr>
        <w:jc w:val="both"/>
      </w:pPr>
      <w:r>
        <w:t>Цель Программы: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единой политики в области информатизации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«Гиагинский район». </w:t>
      </w:r>
    </w:p>
    <w:p>
      <w:pPr>
        <w:jc w:val="both"/>
      </w:pPr>
      <w: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>
      <w:pPr>
        <w:ind w:firstLine="567"/>
        <w:jc w:val="both"/>
      </w:pPr>
      <w:r>
        <w:t>Для достижения целей Программы необходимо решить следующие задачи:</w:t>
      </w:r>
    </w:p>
    <w:p>
      <w:pPr>
        <w:jc w:val="both"/>
      </w:pPr>
      <w:bookmarkStart w:id="4" w:name="sub_21"/>
      <w:r>
        <w:t>- Повышение обеспечения органом ОМСУ информационно - телекоммуникационными технологиями;</w:t>
      </w:r>
    </w:p>
    <w:p>
      <w:pPr>
        <w:jc w:val="both"/>
      </w:pPr>
      <w:r>
        <w:t>- повышение качества и оперативности предоставления муниципальных услуг;</w:t>
      </w:r>
    </w:p>
    <w:p>
      <w:pPr>
        <w:jc w:val="both"/>
      </w:pPr>
      <w:r>
        <w:t>- обеспечение для организаций и граждан доступа к муниципальным информационным ресурсам и сервисам в электронном виде;</w:t>
      </w:r>
    </w:p>
    <w:p>
      <w:pPr>
        <w:jc w:val="both"/>
      </w:pPr>
      <w:r>
        <w:t>- повышение эффективности деятельности органов местного самоуправления;</w:t>
      </w:r>
    </w:p>
    <w:p>
      <w:pPr>
        <w:jc w:val="both"/>
      </w:pPr>
      <w:r>
        <w:t>- доля граждан, использующих механизм получения государственных и муниципальных услуг в электронной форме;</w:t>
      </w:r>
    </w:p>
    <w:p>
      <w:pPr>
        <w:jc w:val="both"/>
      </w:pPr>
      <w:r>
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</w:r>
    </w:p>
    <w:p>
      <w:pPr>
        <w:jc w:val="both"/>
      </w:pPr>
      <w:r>
        <w:t>- обеспеченность персональными компьютерами;</w:t>
      </w:r>
    </w:p>
    <w:p>
      <w:pPr>
        <w:jc w:val="both"/>
      </w:pPr>
      <w:r>
        <w:t>- создание муниципальных информационных ресурсов и электронных сервисов</w:t>
      </w:r>
    </w:p>
    <w:p>
      <w:pPr>
        <w:jc w:val="both"/>
      </w:pPr>
      <w:r>
        <w:t xml:space="preserve"> для администрации Гиагинского района;</w:t>
      </w:r>
    </w:p>
    <w:p>
      <w:pPr>
        <w:jc w:val="both"/>
      </w:pPr>
      <w:r>
        <w:t>- обеспечение бесперебойной работы локально – вычислительной сети и интернета.</w:t>
      </w:r>
    </w:p>
    <w:p>
      <w:pPr>
        <w:pStyle w:val="2"/>
        <w:keepNext w:val="0"/>
        <w:widowControl w:val="0"/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4.Сроки реализации программы.</w:t>
      </w:r>
    </w:p>
    <w:p/>
    <w:bookmarkEnd w:id="4"/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 программы будут реализовываться в один этап за период в   2020-2024 гг. </w:t>
      </w:r>
      <w:bookmarkStart w:id="5" w:name="sub_400"/>
    </w:p>
    <w:p>
      <w:pPr>
        <w:ind w:firstLine="567"/>
        <w:jc w:val="both"/>
        <w:rPr>
          <w:szCs w:val="28"/>
        </w:rPr>
      </w:pPr>
    </w:p>
    <w:p>
      <w:pPr>
        <w:pStyle w:val="2"/>
        <w:keepNext w:val="0"/>
        <w:widowControl w:val="0"/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End w:id="5"/>
      <w:r>
        <w:rPr>
          <w:sz w:val="28"/>
          <w:szCs w:val="28"/>
        </w:rPr>
        <w:t>Объем бюджетных ассигнований программы, мероприятия.</w:t>
      </w:r>
    </w:p>
    <w:p/>
    <w:p>
      <w:pPr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программных мероприятий осуществляется за счет средств бюджета </w:t>
      </w:r>
      <w:r>
        <w:rPr>
          <w:bCs/>
          <w:sz w:val="28"/>
          <w:szCs w:val="28"/>
        </w:rPr>
        <w:t>муниципального образования</w:t>
      </w:r>
      <w:r>
        <w:rPr>
          <w:szCs w:val="28"/>
        </w:rPr>
        <w:t xml:space="preserve"> «Гиагинский район». Общий объем бюджетных ассигнований программы за весь период реализации составляет</w:t>
      </w:r>
      <w:r>
        <w:rPr>
          <w:sz w:val="28"/>
          <w:szCs w:val="28"/>
        </w:rPr>
        <w:t xml:space="preserve"> </w:t>
      </w:r>
      <w:r>
        <w:rPr>
          <w:rFonts w:hint="default" w:cs="Times New Roman" w:eastAsiaTheme="minorEastAsia"/>
          <w:b/>
          <w:sz w:val="28"/>
          <w:szCs w:val="28"/>
          <w:lang w:val="en-US" w:eastAsia="ru-RU"/>
        </w:rPr>
        <w:t>7648,7</w:t>
      </w:r>
      <w:r>
        <w:rPr>
          <w:szCs w:val="28"/>
        </w:rPr>
        <w:t xml:space="preserve"> тыс. рублей. Объем финансирования по годам представлен в таблице 1.</w:t>
      </w:r>
    </w:p>
    <w:p>
      <w:pPr>
        <w:ind w:firstLine="567"/>
        <w:jc w:val="both"/>
        <w:rPr>
          <w:szCs w:val="28"/>
        </w:rPr>
      </w:pPr>
    </w:p>
    <w:p>
      <w:pPr>
        <w:jc w:val="right"/>
        <w:rPr>
          <w:b/>
          <w:sz w:val="20"/>
        </w:rPr>
      </w:pPr>
      <w:r>
        <w:rPr>
          <w:b/>
          <w:sz w:val="20"/>
        </w:rPr>
        <w:t>Таблица 1</w:t>
      </w:r>
    </w:p>
    <w:tbl>
      <w:tblPr>
        <w:tblStyle w:val="1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97"/>
        <w:gridCol w:w="1275"/>
        <w:gridCol w:w="1247"/>
        <w:gridCol w:w="993"/>
        <w:gridCol w:w="99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4" w:type="dxa"/>
            <w:vMerge w:val="restart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всего, тыс. руб.</w:t>
            </w:r>
          </w:p>
        </w:tc>
        <w:tc>
          <w:tcPr>
            <w:tcW w:w="592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297" w:type="dxa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247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44" w:type="dxa"/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297" w:type="dxa"/>
            <w:shd w:val="clear" w:color="auto" w:fill="auto"/>
          </w:tcPr>
          <w:p>
            <w:pPr>
              <w:spacing w:before="2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hint="default" w:cs="Times New Roman" w:eastAsiaTheme="minorEastAsia"/>
                <w:b/>
                <w:sz w:val="20"/>
                <w:szCs w:val="20"/>
                <w:lang w:val="en-US" w:eastAsia="ru-RU"/>
              </w:rPr>
              <w:t>7648,7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247" w:type="dxa"/>
            <w:shd w:val="clear" w:color="auto" w:fill="auto"/>
          </w:tcPr>
          <w:p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795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hint="default" w:cs="Times New Roman" w:eastAsiaTheme="minorEastAsia"/>
                <w:b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40"/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 w:cs="Times New Roman" w:eastAsiaTheme="minorHAnsi"/>
                <w:b/>
                <w:sz w:val="20"/>
                <w:szCs w:val="20"/>
                <w:lang w:val="ru-RU"/>
              </w:rPr>
              <w:t>2094,1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2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</w:tbl>
    <w:p>
      <w:pPr>
        <w:pStyle w:val="2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6" w:name="sub_500"/>
    </w:p>
    <w:p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Перечень основных мероприятий муниципальной программы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14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127"/>
        <w:gridCol w:w="1701"/>
        <w:gridCol w:w="992"/>
        <w:gridCol w:w="1985"/>
        <w:gridCol w:w="17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Ответственный исполнитель, участник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Задачи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Ожидаемый непосредственный результат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Связь с целевыми показателями (индикаторами)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"Организационно-методическое и правовое обеспечение процесса информатизации администрации муниципального образования "Гиагинский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 xml:space="preserve"> район</w:t>
            </w:r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Отдел  информа-ционных технологий администрации муниципального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 xml:space="preserve"> образования</w:t>
            </w:r>
            <w:r>
              <w:rPr>
                <w:sz w:val="22"/>
                <w:szCs w:val="22"/>
                <w:lang w:eastAsia="ru-RU"/>
              </w:rPr>
              <w:t xml:space="preserve"> «Гиагинский район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2020 - 2024 гг.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hint="default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Развитие и модернизация современной инфор-мационной и телекоммуникационной инфраструк-туры Админист-рации муниципаль-ного образования </w:t>
            </w:r>
            <w:r>
              <w:rPr>
                <w:rFonts w:hint="default"/>
                <w:sz w:val="22"/>
                <w:szCs w:val="22"/>
                <w:lang w:val="en-US" w:eastAsia="ru-RU"/>
              </w:rPr>
              <w:t>«Гиагинский район»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Повышение обеспечения органов местного самоуправления современными информационно-телекоммуникационными технологиями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Показатели 1 - 4</w:t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План реализации основных мероприятий муниципальной программы за счет</w:t>
      </w:r>
      <w:r>
        <w:rPr>
          <w:rFonts w:hint="default"/>
          <w:sz w:val="27"/>
          <w:szCs w:val="27"/>
          <w:lang w:val="en-US" w:eastAsia="ru-RU"/>
        </w:rPr>
        <w:t xml:space="preserve"> </w:t>
      </w:r>
      <w:r>
        <w:rPr>
          <w:sz w:val="27"/>
          <w:szCs w:val="27"/>
          <w:lang w:eastAsia="ru-RU"/>
        </w:rPr>
        <w:t xml:space="preserve">всех источников финансирования представлен в </w:t>
      </w:r>
      <w:r>
        <w:fldChar w:fldCharType="begin"/>
      </w:r>
      <w:r>
        <w:instrText xml:space="preserve"> HYPERLINK \l "sub_1009" </w:instrText>
      </w:r>
      <w:r>
        <w:fldChar w:fldCharType="separate"/>
      </w:r>
      <w:r>
        <w:rPr>
          <w:sz w:val="27"/>
          <w:szCs w:val="27"/>
          <w:lang w:eastAsia="ru-RU"/>
        </w:rPr>
        <w:t xml:space="preserve">Таблице </w:t>
      </w:r>
      <w:r>
        <w:rPr>
          <w:sz w:val="27"/>
          <w:szCs w:val="27"/>
          <w:lang w:eastAsia="ru-RU"/>
        </w:rPr>
        <w:fldChar w:fldCharType="end"/>
      </w:r>
      <w:r>
        <w:rPr>
          <w:rFonts w:hint="default"/>
          <w:sz w:val="27"/>
          <w:szCs w:val="27"/>
          <w:lang w:val="ru-RU" w:eastAsia="ru-RU"/>
        </w:rPr>
        <w:t>№</w:t>
      </w:r>
      <w:r>
        <w:rPr>
          <w:sz w:val="27"/>
          <w:szCs w:val="27"/>
          <w:lang w:eastAsia="ru-RU"/>
        </w:rPr>
        <w:t>2</w:t>
      </w:r>
      <w:r>
        <w:rPr>
          <w:rFonts w:ascii="Arial" w:hAnsi="Arial" w:cs="Arial"/>
          <w:sz w:val="27"/>
          <w:szCs w:val="27"/>
          <w:lang w:eastAsia="ru-RU"/>
        </w:rPr>
        <w:t>.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lang w:eastAsia="ru-RU"/>
        </w:rPr>
      </w:pPr>
      <w:r>
        <w:rPr>
          <w:b/>
          <w:sz w:val="20"/>
          <w:lang w:eastAsia="ru-RU"/>
        </w:rPr>
        <w:t>Таблица 2</w:t>
      </w:r>
    </w:p>
    <w:tbl>
      <w:tblPr>
        <w:tblStyle w:val="20"/>
        <w:tblpPr w:leftFromText="180" w:rightFromText="180" w:vertAnchor="page" w:horzAnchor="page" w:tblpX="1106" w:tblpY="2812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9"/>
        <w:gridCol w:w="1984"/>
        <w:gridCol w:w="1276"/>
        <w:gridCol w:w="851"/>
        <w:gridCol w:w="708"/>
        <w:gridCol w:w="851"/>
        <w:gridCol w:w="85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>N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9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Ответственный исполнитель, соисполнитель (участник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Всего за весь период реализации программы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2023</w:t>
            </w:r>
          </w:p>
        </w:tc>
        <w:tc>
          <w:tcPr>
            <w:tcW w:w="845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Всего по программе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Отдел  информационных технологий администрации </w:t>
            </w:r>
            <w:r>
              <w:rPr>
                <w:bCs/>
                <w:sz w:val="16"/>
                <w:szCs w:val="16"/>
              </w:rPr>
              <w:t>муниципального образования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 «Гиагинский район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hint="default" w:cs="Times New Roman" w:eastAsiaTheme="minorEastAsia"/>
                <w:b/>
                <w:sz w:val="16"/>
                <w:szCs w:val="16"/>
                <w:lang w:val="en-US" w:eastAsia="ru-RU"/>
              </w:rPr>
              <w:t>7648,7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cs="Times New Roman" w:eastAsiaTheme="minorEastAsia"/>
                <w:b/>
                <w:sz w:val="16"/>
                <w:szCs w:val="16"/>
                <w:lang w:val="en-US" w:eastAsia="ru-RU"/>
              </w:rPr>
              <w:t>795</w:t>
            </w:r>
            <w:r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2094,1</w:t>
            </w:r>
          </w:p>
        </w:tc>
        <w:tc>
          <w:tcPr>
            <w:tcW w:w="845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9634" w:type="dxa"/>
            <w:gridSpan w:val="8"/>
          </w:tcPr>
          <w:p>
            <w:pPr>
              <w:rPr>
                <w:rFonts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b/>
                <w:sz w:val="16"/>
                <w:szCs w:val="16"/>
                <w:lang w:eastAsia="ru-RU"/>
              </w:rPr>
              <w:t>Основное мероприятие 1.«Организационно-методическое и правовое обеспечение процесса информатизации администрации муниципального образования «Гиагинский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  <w:t>1.1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>Аттестация объекта информатизации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Отдел  информационных технологий администрации </w:t>
            </w: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 «Гиагинский район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974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90,0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lang w:val="en-US"/>
              </w:rPr>
              <w:t>200</w:t>
            </w: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,</w:t>
            </w:r>
            <w:r>
              <w:rPr>
                <w:rFonts w:hint="default" w:cs="Times New Roman" w:eastAsiaTheme="minorHAns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16"/>
                <w:szCs w:val="16"/>
                <w:lang w:val="ru-RU"/>
              </w:rPr>
              <w:t>684</w:t>
            </w:r>
            <w:r>
              <w:rPr>
                <w:rFonts w:hint="default" w:cs="Times New Roman" w:eastAsiaTheme="minorHAnsi"/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  <w:t>1.2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>Приобретение  электронно-цифровой подписи (сертификаты)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Отдел  информационных технологий администрации </w:t>
            </w: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 «Гиагинский район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105,0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35,0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35,0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1.3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  <w:t>Приобретение программных продуктов в том числе: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Отдел  информационных технологий администрации </w:t>
            </w: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 «Гиагинский район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694,7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209,8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  <w:t>275,1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b/>
                <w:sz w:val="16"/>
                <w:szCs w:val="16"/>
                <w:lang w:val="en-US"/>
              </w:rPr>
              <w:t>209</w:t>
            </w: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Приобретение лицензий крипто про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222,7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29,8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113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  <w:t>,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79,8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1.3.2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Приобретение(продление) программного продукта, Антивирус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422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130,0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162,0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.3.3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Приобретение программного продукта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  <w:t>Организация по проведению мероприятий по приобретению, ремонту, и утилизации оргтехники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Отдел  информационных технологий администрации </w:t>
            </w: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муниципального образования</w:t>
            </w:r>
            <w: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  <w:t xml:space="preserve"> «Гиагинский район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b/>
                <w:sz w:val="16"/>
                <w:szCs w:val="16"/>
                <w:lang w:val="ru-RU"/>
              </w:rPr>
              <w:t>5875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7</w:t>
            </w:r>
            <w:r>
              <w:rPr>
                <w:rFonts w:hint="default" w:cs="Times New Roman" w:eastAsiaTheme="minorHAnsi"/>
                <w:b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85,0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  <w:t>11</w:t>
            </w: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  <w:lang w:val="en-US"/>
              </w:rPr>
              <w:t>00</w:t>
            </w:r>
            <w: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  <w:t>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</w:rPr>
              <w:t>1135,0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1.4.1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Услуги по заправке картриджей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335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  <w:t>3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5,0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1.4.2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Ремонт и восстановление оргтехники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203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65,0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  <w:t>73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65,0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 xml:space="preserve">1.4.3 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Утилизация оргтехники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50,0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1.4.4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Комплектующие для оргтехники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3</w:t>
            </w: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120,0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0,0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1.4.5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 xml:space="preserve">Приобретение 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  <w:t xml:space="preserve">IP 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телефонов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asciiTheme="minorHAnsi" w:hAnsiTheme="minorHAnsi" w:eastAsiaTheme="minorHAnsi" w:cstheme="minorBidi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</w:rPr>
              <w:t>10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highlight w:val="none"/>
                <w:lang w:val="en-US"/>
              </w:rPr>
              <w:t>.0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1.4.6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Приобретение оргтехники взамен устаревшей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4177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1150,0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7</w:t>
            </w:r>
            <w:r>
              <w:rPr>
                <w:rFonts w:hint="default" w:cs="Times New Roman" w:eastAsiaTheme="minorHAnsi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800,0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/>
              </w:rPr>
              <w:t>722</w:t>
            </w: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,0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1.4.7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  <w:t>Установка системы видео наблюдения</w:t>
            </w: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cs="Times New Roman"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cs="Times New Roman" w:eastAsiaTheme="minorHAnsi"/>
                <w:sz w:val="16"/>
                <w:szCs w:val="16"/>
                <w:lang w:val="ru-RU"/>
              </w:rPr>
              <w:t>650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  <w:lang w:val="ru-RU"/>
              </w:rPr>
            </w:pPr>
            <w:r>
              <w:rPr>
                <w:rFonts w:hint="default" w:eastAsiaTheme="minorHAnsi"/>
                <w:sz w:val="16"/>
                <w:szCs w:val="16"/>
                <w:highlight w:val="none"/>
                <w:lang w:val="ru-RU"/>
              </w:rPr>
              <w:t>650,0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  <w:tc>
          <w:tcPr>
            <w:tcW w:w="84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</w:rPr>
              <w:t>0</w:t>
            </w:r>
          </w:p>
        </w:tc>
      </w:tr>
    </w:tbl>
    <w:p/>
    <w:bookmarkEnd w:id="6"/>
    <w:p>
      <w:pPr>
        <w:pStyle w:val="2"/>
        <w:keepNext w:val="0"/>
        <w:widowControl w:val="0"/>
        <w:numPr>
          <w:ilvl w:val="0"/>
          <w:numId w:val="0"/>
        </w:numPr>
        <w:autoSpaceDE w:val="0"/>
        <w:spacing w:before="108" w:line="120" w:lineRule="auto"/>
        <w:ind w:left="432"/>
        <w:rPr>
          <w:b w:val="0"/>
          <w:sz w:val="27"/>
          <w:szCs w:val="27"/>
        </w:rPr>
      </w:pPr>
      <w:r>
        <w:rPr>
          <w:sz w:val="27"/>
          <w:szCs w:val="27"/>
        </w:rPr>
        <w:t>6. Целевые показатели муниципальной программы</w:t>
      </w:r>
    </w:p>
    <w:p>
      <w:pPr>
        <w:ind w:left="-142"/>
        <w:jc w:val="center"/>
        <w:rPr>
          <w:b/>
          <w:sz w:val="27"/>
          <w:szCs w:val="27"/>
        </w:rPr>
      </w:pPr>
    </w:p>
    <w:p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>
      <w:pPr>
        <w:jc w:val="right"/>
        <w:rPr>
          <w:b/>
          <w:sz w:val="20"/>
        </w:rPr>
      </w:pPr>
    </w:p>
    <w:p>
      <w:pPr>
        <w:jc w:val="right"/>
        <w:rPr>
          <w:b/>
          <w:sz w:val="20"/>
        </w:rPr>
      </w:pPr>
      <w:r>
        <w:rPr>
          <w:b/>
          <w:sz w:val="20"/>
        </w:rPr>
        <w:t>Таблица 3</w:t>
      </w:r>
    </w:p>
    <w:tbl>
      <w:tblPr>
        <w:tblStyle w:val="1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1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5442" w:type="dxa"/>
            <w:gridSpan w:val="5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1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1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1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1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посит. В год</w:t>
            </w:r>
          </w:p>
        </w:tc>
        <w:tc>
          <w:tcPr>
            <w:tcW w:w="62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аттестованных АРМ</w:t>
            </w:r>
          </w:p>
        </w:tc>
        <w:tc>
          <w:tcPr>
            <w:tcW w:w="185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>
      <w:pPr>
        <w:jc w:val="right"/>
        <w:rPr>
          <w:b/>
          <w:sz w:val="20"/>
        </w:rPr>
      </w:pPr>
    </w:p>
    <w:p>
      <w:pPr>
        <w:jc w:val="right"/>
        <w:rPr>
          <w:b/>
          <w:sz w:val="20"/>
        </w:rPr>
      </w:pPr>
      <w:r>
        <w:rPr>
          <w:b/>
          <w:sz w:val="20"/>
        </w:rPr>
        <w:t>Таблица 4</w:t>
      </w:r>
    </w:p>
    <w:tbl>
      <w:tblPr>
        <w:tblStyle w:val="1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529"/>
        <w:gridCol w:w="182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3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3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7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Па/Пп х 100, где Д – доля пользователей подключенных к ЛВС, %; Пп – количество пользователей подключенных к ЛВС, шт.;  Па – количество пользователей Администрации,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7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>
      <w:pPr>
        <w:jc w:val="center"/>
        <w:rPr>
          <w:b/>
        </w:rPr>
      </w:pPr>
    </w:p>
    <w:p>
      <w:pPr>
        <w:pStyle w:val="2"/>
        <w:rPr>
          <w:bCs/>
          <w:color w:val="26282F"/>
          <w:sz w:val="27"/>
          <w:szCs w:val="27"/>
          <w:lang w:eastAsia="ru-RU"/>
        </w:rPr>
      </w:pPr>
      <w:r>
        <w:t xml:space="preserve"> </w:t>
      </w:r>
      <w:bookmarkStart w:id="7" w:name="sub_1012"/>
      <w:r>
        <w:rPr>
          <w:bCs/>
          <w:color w:val="26282F"/>
          <w:sz w:val="27"/>
          <w:szCs w:val="27"/>
          <w:lang w:eastAsia="ru-RU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7"/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Внешними рисками невыполнения Программы могут являться: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 Появление новых научных, технических и технологических решений на мировом рынке. 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 Риски неэффективного и неполного использования муниципальными служащими и организациями возможностей, сервисов, услуг, предоставляемых внедренными в рамках Программы информационно-телекоммуникационными технологиями.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 Неустойчивая работа Системы межведомственного электронного взаимодействия (СМЭВ):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- несвоевременное решение вопросов работоспособности системы СМЭВ;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- ограниченное число подключений к системе СМЭВ.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 Финансовые риски. Связаны с отсутствием финансирования мероприятий Программы из местного бюджета.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 Кадровые риски. Связаны с недостаточным уровнем квалификации муниципальных служащих для реализации мероприятий Программы.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Основными мерами управления внешними рисками является: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 Необходимость использования актуальных версий лицензионного программного обеспечения в течение всего срока реализации Программы, мониторинга текущих отечественных тенденций в сфере информатизации с последующей, при необходимости, актуализацией плана реализации Программы.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 Для обеспечения эффективного и полного использования возможностей, предоставляемых информационно-телекоммуникационными технологиями, 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т.д.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 Для управления рисками, связанными с неустойчивой работой СМЭВ, предусматривается взаимодействие с Управлением информатизации Республики Адыгея, участие в совещаниях и семинарах, проводимых республиканскими органами власти. Своевременное информирование работников Управления информатизации Республики Адыгея о возникших проблемах при работе системы СМЭВ.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 Мерами по управлению финансовыми рисками является своевременное формирование обоснованной бюджетной заявки на очередной финансовый год.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 Для минимизации риска необходимо регулярное проведение мероприятий по повышению квалификации муниципальных служащих в муниципальном образовании «Гиагинский район» в области информационных технологий.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Внутренними рисками невыполнения Программы могут являться: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 Управленческие риски - неэффективное управление реализацией муниципальной программы, недостаточная оперативность корректировки хода реализации Программы.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Основными мерами управления внутренними рисками является: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 Постоянный контроль исполнения мероприятий Программы, соответствие мероприятий Программы действующему законодательству.</w:t>
      </w:r>
    </w:p>
    <w:p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>
      <w:pPr>
        <w:jc w:val="center"/>
        <w:rPr>
          <w:sz w:val="27"/>
          <w:szCs w:val="27"/>
        </w:rPr>
      </w:pPr>
    </w:p>
    <w:p>
      <w:pPr>
        <w:rPr>
          <w:szCs w:val="28"/>
        </w:rPr>
      </w:pPr>
    </w:p>
    <w:p>
      <w:pPr>
        <w:ind w:firstLine="567"/>
        <w:rPr>
          <w:szCs w:val="28"/>
        </w:rPr>
      </w:pPr>
      <w:r>
        <w:rPr>
          <w:szCs w:val="28"/>
        </w:rPr>
        <w:t>Управляющая делами                                                                Е.М. Василенко</w:t>
      </w:r>
    </w:p>
    <w:sectPr>
      <w:pgSz w:w="11906" w:h="16838"/>
      <w:pgMar w:top="1077" w:right="851" w:bottom="851" w:left="141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pStyle w:val="12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pStyle w:val="118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E"/>
    <w:rsid w:val="000060FE"/>
    <w:rsid w:val="0002080A"/>
    <w:rsid w:val="00022EBF"/>
    <w:rsid w:val="000708DE"/>
    <w:rsid w:val="000802C0"/>
    <w:rsid w:val="00082DCD"/>
    <w:rsid w:val="000B02E7"/>
    <w:rsid w:val="000C2501"/>
    <w:rsid w:val="000C3A20"/>
    <w:rsid w:val="000F5397"/>
    <w:rsid w:val="00103AF1"/>
    <w:rsid w:val="00110845"/>
    <w:rsid w:val="00123599"/>
    <w:rsid w:val="00150ACB"/>
    <w:rsid w:val="00153C53"/>
    <w:rsid w:val="001B06B8"/>
    <w:rsid w:val="001B0C5E"/>
    <w:rsid w:val="001B4498"/>
    <w:rsid w:val="001C05F7"/>
    <w:rsid w:val="001D026C"/>
    <w:rsid w:val="001E14B6"/>
    <w:rsid w:val="001F6CCF"/>
    <w:rsid w:val="001F70C4"/>
    <w:rsid w:val="0021169F"/>
    <w:rsid w:val="0024119F"/>
    <w:rsid w:val="00241CE7"/>
    <w:rsid w:val="00242C7A"/>
    <w:rsid w:val="0025371F"/>
    <w:rsid w:val="00256093"/>
    <w:rsid w:val="002B00F3"/>
    <w:rsid w:val="002B10D3"/>
    <w:rsid w:val="002C07D8"/>
    <w:rsid w:val="002C6889"/>
    <w:rsid w:val="002D036D"/>
    <w:rsid w:val="002E7FD0"/>
    <w:rsid w:val="003032A4"/>
    <w:rsid w:val="00312601"/>
    <w:rsid w:val="00314FA6"/>
    <w:rsid w:val="003175D2"/>
    <w:rsid w:val="00320674"/>
    <w:rsid w:val="00325743"/>
    <w:rsid w:val="00341A51"/>
    <w:rsid w:val="003A1F48"/>
    <w:rsid w:val="003D2F2F"/>
    <w:rsid w:val="003F1325"/>
    <w:rsid w:val="0041096C"/>
    <w:rsid w:val="004259B3"/>
    <w:rsid w:val="00427AE2"/>
    <w:rsid w:val="0043303C"/>
    <w:rsid w:val="00437BCA"/>
    <w:rsid w:val="004411CD"/>
    <w:rsid w:val="00453AE1"/>
    <w:rsid w:val="00460B90"/>
    <w:rsid w:val="004675BA"/>
    <w:rsid w:val="004B001C"/>
    <w:rsid w:val="004D19B4"/>
    <w:rsid w:val="004D1C73"/>
    <w:rsid w:val="004E3B51"/>
    <w:rsid w:val="004E64F8"/>
    <w:rsid w:val="004E7DDD"/>
    <w:rsid w:val="004F516A"/>
    <w:rsid w:val="0050417F"/>
    <w:rsid w:val="00542375"/>
    <w:rsid w:val="00556069"/>
    <w:rsid w:val="00574F02"/>
    <w:rsid w:val="005764EA"/>
    <w:rsid w:val="00587D72"/>
    <w:rsid w:val="005A14E0"/>
    <w:rsid w:val="005A1903"/>
    <w:rsid w:val="005D4B4D"/>
    <w:rsid w:val="005F012F"/>
    <w:rsid w:val="00600E91"/>
    <w:rsid w:val="00602E18"/>
    <w:rsid w:val="00672474"/>
    <w:rsid w:val="006A7C6E"/>
    <w:rsid w:val="006B5444"/>
    <w:rsid w:val="006B74FB"/>
    <w:rsid w:val="006C588A"/>
    <w:rsid w:val="006C77DD"/>
    <w:rsid w:val="006D3F01"/>
    <w:rsid w:val="006F0132"/>
    <w:rsid w:val="007020B5"/>
    <w:rsid w:val="00702FAE"/>
    <w:rsid w:val="0071008E"/>
    <w:rsid w:val="007134C1"/>
    <w:rsid w:val="007242FC"/>
    <w:rsid w:val="007324F8"/>
    <w:rsid w:val="007333A2"/>
    <w:rsid w:val="007360D2"/>
    <w:rsid w:val="007365CB"/>
    <w:rsid w:val="007369A3"/>
    <w:rsid w:val="007649B4"/>
    <w:rsid w:val="00777233"/>
    <w:rsid w:val="007906A2"/>
    <w:rsid w:val="00791247"/>
    <w:rsid w:val="00793181"/>
    <w:rsid w:val="007C12C4"/>
    <w:rsid w:val="008028FF"/>
    <w:rsid w:val="00821C0C"/>
    <w:rsid w:val="00821D1E"/>
    <w:rsid w:val="00821D62"/>
    <w:rsid w:val="0084176F"/>
    <w:rsid w:val="0086308E"/>
    <w:rsid w:val="008847A3"/>
    <w:rsid w:val="008858AC"/>
    <w:rsid w:val="0089525C"/>
    <w:rsid w:val="008E13E2"/>
    <w:rsid w:val="0090255F"/>
    <w:rsid w:val="00910970"/>
    <w:rsid w:val="00922955"/>
    <w:rsid w:val="00944297"/>
    <w:rsid w:val="00945179"/>
    <w:rsid w:val="00952875"/>
    <w:rsid w:val="00956A63"/>
    <w:rsid w:val="00990BF2"/>
    <w:rsid w:val="00994631"/>
    <w:rsid w:val="009D212B"/>
    <w:rsid w:val="009D4FE7"/>
    <w:rsid w:val="009D5828"/>
    <w:rsid w:val="009F7B3F"/>
    <w:rsid w:val="00A26FAE"/>
    <w:rsid w:val="00A331DA"/>
    <w:rsid w:val="00A77950"/>
    <w:rsid w:val="00A96449"/>
    <w:rsid w:val="00AB794B"/>
    <w:rsid w:val="00AC46BE"/>
    <w:rsid w:val="00B05BEB"/>
    <w:rsid w:val="00B0719B"/>
    <w:rsid w:val="00B17878"/>
    <w:rsid w:val="00B23278"/>
    <w:rsid w:val="00B35555"/>
    <w:rsid w:val="00B4292E"/>
    <w:rsid w:val="00B47DDA"/>
    <w:rsid w:val="00B51EEC"/>
    <w:rsid w:val="00B64916"/>
    <w:rsid w:val="00B669FA"/>
    <w:rsid w:val="00B97E3A"/>
    <w:rsid w:val="00BB52AA"/>
    <w:rsid w:val="00BC033A"/>
    <w:rsid w:val="00BE37BA"/>
    <w:rsid w:val="00C118A9"/>
    <w:rsid w:val="00C15E39"/>
    <w:rsid w:val="00C41D98"/>
    <w:rsid w:val="00C41EE2"/>
    <w:rsid w:val="00C701BD"/>
    <w:rsid w:val="00C72145"/>
    <w:rsid w:val="00C73B90"/>
    <w:rsid w:val="00C8652A"/>
    <w:rsid w:val="00C90C6C"/>
    <w:rsid w:val="00C96870"/>
    <w:rsid w:val="00CA2999"/>
    <w:rsid w:val="00CB1755"/>
    <w:rsid w:val="00CD7E23"/>
    <w:rsid w:val="00CF57D2"/>
    <w:rsid w:val="00CF594B"/>
    <w:rsid w:val="00CF734A"/>
    <w:rsid w:val="00CF7867"/>
    <w:rsid w:val="00D0475A"/>
    <w:rsid w:val="00D418AD"/>
    <w:rsid w:val="00D61019"/>
    <w:rsid w:val="00D764B7"/>
    <w:rsid w:val="00D81395"/>
    <w:rsid w:val="00D9414D"/>
    <w:rsid w:val="00D9528A"/>
    <w:rsid w:val="00D96C6D"/>
    <w:rsid w:val="00DC1D77"/>
    <w:rsid w:val="00DC2420"/>
    <w:rsid w:val="00DC38CB"/>
    <w:rsid w:val="00DE5F10"/>
    <w:rsid w:val="00DF6067"/>
    <w:rsid w:val="00E159E1"/>
    <w:rsid w:val="00E16757"/>
    <w:rsid w:val="00E34151"/>
    <w:rsid w:val="00E41562"/>
    <w:rsid w:val="00E41D4C"/>
    <w:rsid w:val="00E719DB"/>
    <w:rsid w:val="00E72833"/>
    <w:rsid w:val="00E834BF"/>
    <w:rsid w:val="00E851BE"/>
    <w:rsid w:val="00E86EB3"/>
    <w:rsid w:val="00E946D8"/>
    <w:rsid w:val="00EA064B"/>
    <w:rsid w:val="00EB236A"/>
    <w:rsid w:val="00ED6872"/>
    <w:rsid w:val="00EE31ED"/>
    <w:rsid w:val="00F06D18"/>
    <w:rsid w:val="00F30803"/>
    <w:rsid w:val="00F42922"/>
    <w:rsid w:val="00F55FE3"/>
    <w:rsid w:val="00F66F6E"/>
    <w:rsid w:val="00FD6EE1"/>
    <w:rsid w:val="00FE0694"/>
    <w:rsid w:val="00FE6681"/>
    <w:rsid w:val="00FE7649"/>
    <w:rsid w:val="065B4B83"/>
    <w:rsid w:val="070A3E4D"/>
    <w:rsid w:val="07463B51"/>
    <w:rsid w:val="08CA3BC2"/>
    <w:rsid w:val="0E3F41EC"/>
    <w:rsid w:val="12626E06"/>
    <w:rsid w:val="1DED3D58"/>
    <w:rsid w:val="20605222"/>
    <w:rsid w:val="25AE7B92"/>
    <w:rsid w:val="2EFC01EB"/>
    <w:rsid w:val="3137474A"/>
    <w:rsid w:val="324F3ED3"/>
    <w:rsid w:val="372A70E2"/>
    <w:rsid w:val="43B14F61"/>
    <w:rsid w:val="47C96397"/>
    <w:rsid w:val="4D1F4A2A"/>
    <w:rsid w:val="676735A2"/>
    <w:rsid w:val="6EDB78CA"/>
    <w:rsid w:val="785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8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7">
    <w:name w:val="heading 6"/>
    <w:basedOn w:val="8"/>
    <w:next w:val="9"/>
    <w:qFormat/>
    <w:uiPriority w:val="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10">
    <w:name w:val="heading 7"/>
    <w:basedOn w:val="8"/>
    <w:next w:val="9"/>
    <w:qFormat/>
    <w:uiPriority w:val="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11">
    <w:name w:val="heading 8"/>
    <w:basedOn w:val="8"/>
    <w:next w:val="9"/>
    <w:qFormat/>
    <w:uiPriority w:val="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12">
    <w:name w:val="heading 9"/>
    <w:basedOn w:val="8"/>
    <w:next w:val="9"/>
    <w:qFormat/>
    <w:uiPriority w:val="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9"/>
    <w:qFormat/>
    <w:uiPriority w:val="0"/>
    <w:pPr>
      <w:keepNext/>
      <w:spacing w:before="240" w:after="120"/>
    </w:pPr>
    <w:rPr>
      <w:rFonts w:ascii="Arial" w:hAnsi="Arial" w:eastAsia="Microsoft YaHei" w:cs="Mangal"/>
      <w:szCs w:val="28"/>
    </w:rPr>
  </w:style>
  <w:style w:type="paragraph" w:styleId="9">
    <w:name w:val="Body Text"/>
    <w:basedOn w:val="1"/>
    <w:qFormat/>
    <w:uiPriority w:val="0"/>
    <w:pPr>
      <w:jc w:val="both"/>
    </w:pPr>
  </w:style>
  <w:style w:type="character" w:styleId="15">
    <w:name w:val="Hyperlink"/>
    <w:qFormat/>
    <w:uiPriority w:val="0"/>
    <w:rPr>
      <w:color w:val="0000FF"/>
      <w:u w:val="single"/>
    </w:rPr>
  </w:style>
  <w:style w:type="paragraph" w:styleId="16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7">
    <w:name w:val="Body Text Indent"/>
    <w:basedOn w:val="1"/>
    <w:qFormat/>
    <w:uiPriority w:val="0"/>
    <w:pPr>
      <w:ind w:left="708" w:firstLine="702"/>
      <w:jc w:val="both"/>
    </w:pPr>
    <w:rPr>
      <w:position w:val="20"/>
    </w:rPr>
  </w:style>
  <w:style w:type="paragraph" w:styleId="18">
    <w:name w:val="List"/>
    <w:basedOn w:val="9"/>
    <w:qFormat/>
    <w:uiPriority w:val="0"/>
    <w:rPr>
      <w:rFonts w:cs="Mangal"/>
    </w:rPr>
  </w:style>
  <w:style w:type="paragraph" w:styleId="1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20">
    <w:name w:val="Table Grid"/>
    <w:basedOn w:val="14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WW8Num1z0"/>
    <w:qFormat/>
    <w:uiPriority w:val="0"/>
    <w:rPr>
      <w:rFonts w:hint="default"/>
    </w:rPr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WW8Num2z0"/>
    <w:qFormat/>
    <w:uiPriority w:val="0"/>
    <w:rPr>
      <w:rFonts w:hint="default" w:ascii="Times New Roman" w:hAnsi="Times New Roman" w:cs="Times New Roman"/>
      <w:sz w:val="28"/>
      <w:szCs w:val="28"/>
    </w:rPr>
  </w:style>
  <w:style w:type="character" w:customStyle="1" w:styleId="31">
    <w:name w:val="WW8Num2z1"/>
    <w:qFormat/>
    <w:uiPriority w:val="0"/>
  </w:style>
  <w:style w:type="character" w:customStyle="1" w:styleId="32">
    <w:name w:val="WW8Num2z2"/>
    <w:qFormat/>
    <w:uiPriority w:val="0"/>
  </w:style>
  <w:style w:type="character" w:customStyle="1" w:styleId="33">
    <w:name w:val="WW8Num2z3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5"/>
    <w:qFormat/>
    <w:uiPriority w:val="0"/>
  </w:style>
  <w:style w:type="character" w:customStyle="1" w:styleId="36">
    <w:name w:val="WW8Num2z6"/>
    <w:qFormat/>
    <w:uiPriority w:val="0"/>
  </w:style>
  <w:style w:type="character" w:customStyle="1" w:styleId="37">
    <w:name w:val="WW8Num2z7"/>
    <w:qFormat/>
    <w:uiPriority w:val="0"/>
  </w:style>
  <w:style w:type="character" w:customStyle="1" w:styleId="38">
    <w:name w:val="WW8Num2z8"/>
    <w:qFormat/>
    <w:uiPriority w:val="0"/>
  </w:style>
  <w:style w:type="character" w:customStyle="1" w:styleId="39">
    <w:name w:val="WW8Num3z0"/>
    <w:qFormat/>
    <w:uiPriority w:val="0"/>
    <w:rPr>
      <w:rFonts w:hint="default"/>
    </w:rPr>
  </w:style>
  <w:style w:type="character" w:customStyle="1" w:styleId="40">
    <w:name w:val="WW8Num4z0"/>
    <w:qFormat/>
    <w:uiPriority w:val="0"/>
    <w:rPr>
      <w:rFonts w:hint="default"/>
      <w:sz w:val="28"/>
      <w:szCs w:val="28"/>
    </w:rPr>
  </w:style>
  <w:style w:type="character" w:customStyle="1" w:styleId="41">
    <w:name w:val="WW8Num4z1"/>
    <w:qFormat/>
    <w:uiPriority w:val="0"/>
  </w:style>
  <w:style w:type="character" w:customStyle="1" w:styleId="42">
    <w:name w:val="WW8Num4z2"/>
    <w:qFormat/>
    <w:uiPriority w:val="0"/>
  </w:style>
  <w:style w:type="character" w:customStyle="1" w:styleId="43">
    <w:name w:val="WW8Num4z3"/>
    <w:qFormat/>
    <w:uiPriority w:val="0"/>
  </w:style>
  <w:style w:type="character" w:customStyle="1" w:styleId="44">
    <w:name w:val="WW8Num4z4"/>
    <w:qFormat/>
    <w:uiPriority w:val="0"/>
  </w:style>
  <w:style w:type="character" w:customStyle="1" w:styleId="45">
    <w:name w:val="WW8Num4z5"/>
    <w:qFormat/>
    <w:uiPriority w:val="0"/>
  </w:style>
  <w:style w:type="character" w:customStyle="1" w:styleId="46">
    <w:name w:val="WW8Num4z6"/>
    <w:qFormat/>
    <w:uiPriority w:val="0"/>
  </w:style>
  <w:style w:type="character" w:customStyle="1" w:styleId="47">
    <w:name w:val="WW8Num4z7"/>
    <w:qFormat/>
    <w:uiPriority w:val="0"/>
  </w:style>
  <w:style w:type="character" w:customStyle="1" w:styleId="48">
    <w:name w:val="WW8Num4z8"/>
    <w:qFormat/>
    <w:uiPriority w:val="0"/>
  </w:style>
  <w:style w:type="character" w:customStyle="1" w:styleId="49">
    <w:name w:val="WW8Num5z0"/>
    <w:qFormat/>
    <w:uiPriority w:val="0"/>
    <w:rPr>
      <w:rFonts w:hint="default"/>
      <w:sz w:val="28"/>
      <w:szCs w:val="28"/>
    </w:rPr>
  </w:style>
  <w:style w:type="character" w:customStyle="1" w:styleId="50">
    <w:name w:val="WW8Num5z1"/>
    <w:qFormat/>
    <w:uiPriority w:val="0"/>
    <w:rPr>
      <w:rFonts w:hint="default" w:ascii="Courier New" w:hAnsi="Courier New" w:cs="Courier New"/>
    </w:rPr>
  </w:style>
  <w:style w:type="character" w:customStyle="1" w:styleId="51">
    <w:name w:val="WW8Num5z2"/>
    <w:qFormat/>
    <w:uiPriority w:val="0"/>
    <w:rPr>
      <w:rFonts w:hint="default" w:ascii="Wingdings" w:hAnsi="Wingdings" w:cs="Wingdings"/>
      <w:sz w:val="28"/>
      <w:szCs w:val="28"/>
    </w:rPr>
  </w:style>
  <w:style w:type="character" w:customStyle="1" w:styleId="52">
    <w:name w:val="WW8Num5z3"/>
    <w:qFormat/>
    <w:uiPriority w:val="0"/>
  </w:style>
  <w:style w:type="character" w:customStyle="1" w:styleId="53">
    <w:name w:val="WW8Num5z4"/>
    <w:qFormat/>
    <w:uiPriority w:val="0"/>
  </w:style>
  <w:style w:type="character" w:customStyle="1" w:styleId="54">
    <w:name w:val="WW8Num5z5"/>
    <w:qFormat/>
    <w:uiPriority w:val="0"/>
  </w:style>
  <w:style w:type="character" w:customStyle="1" w:styleId="55">
    <w:name w:val="WW8Num5z6"/>
    <w:qFormat/>
    <w:uiPriority w:val="0"/>
  </w:style>
  <w:style w:type="character" w:customStyle="1" w:styleId="56">
    <w:name w:val="WW8Num5z7"/>
    <w:qFormat/>
    <w:uiPriority w:val="0"/>
  </w:style>
  <w:style w:type="character" w:customStyle="1" w:styleId="57">
    <w:name w:val="WW8Num5z8"/>
    <w:qFormat/>
    <w:uiPriority w:val="0"/>
  </w:style>
  <w:style w:type="character" w:customStyle="1" w:styleId="58">
    <w:name w:val="WW8Num6z0"/>
    <w:qFormat/>
    <w:uiPriority w:val="0"/>
    <w:rPr>
      <w:rFonts w:hint="default" w:ascii="Symbol" w:hAnsi="Symbol" w:cs="Symbol"/>
    </w:rPr>
  </w:style>
  <w:style w:type="character" w:customStyle="1" w:styleId="59">
    <w:name w:val="WW8Num6z1"/>
    <w:qFormat/>
    <w:uiPriority w:val="0"/>
    <w:rPr>
      <w:rFonts w:hint="default" w:ascii="Courier New" w:hAnsi="Courier New" w:cs="Courier New"/>
    </w:rPr>
  </w:style>
  <w:style w:type="character" w:customStyle="1" w:styleId="60">
    <w:name w:val="WW8Num6z2"/>
    <w:qFormat/>
    <w:uiPriority w:val="0"/>
    <w:rPr>
      <w:rFonts w:hint="default" w:ascii="Wingdings" w:hAnsi="Wingdings" w:cs="Wingdings"/>
      <w:sz w:val="28"/>
      <w:szCs w:val="28"/>
    </w:rPr>
  </w:style>
  <w:style w:type="character" w:customStyle="1" w:styleId="61">
    <w:name w:val="WW8Num6z3"/>
    <w:qFormat/>
    <w:uiPriority w:val="0"/>
  </w:style>
  <w:style w:type="character" w:customStyle="1" w:styleId="62">
    <w:name w:val="WW8Num6z4"/>
    <w:qFormat/>
    <w:uiPriority w:val="0"/>
  </w:style>
  <w:style w:type="character" w:customStyle="1" w:styleId="63">
    <w:name w:val="WW8Num6z5"/>
    <w:qFormat/>
    <w:uiPriority w:val="0"/>
  </w:style>
  <w:style w:type="character" w:customStyle="1" w:styleId="64">
    <w:name w:val="WW8Num6z6"/>
    <w:qFormat/>
    <w:uiPriority w:val="0"/>
  </w:style>
  <w:style w:type="character" w:customStyle="1" w:styleId="65">
    <w:name w:val="WW8Num6z7"/>
    <w:qFormat/>
    <w:uiPriority w:val="0"/>
  </w:style>
  <w:style w:type="character" w:customStyle="1" w:styleId="66">
    <w:name w:val="WW8Num6z8"/>
    <w:qFormat/>
    <w:uiPriority w:val="0"/>
  </w:style>
  <w:style w:type="character" w:customStyle="1" w:styleId="67">
    <w:name w:val="WW8Num3z1"/>
    <w:qFormat/>
    <w:uiPriority w:val="0"/>
  </w:style>
  <w:style w:type="character" w:customStyle="1" w:styleId="68">
    <w:name w:val="WW8Num3z2"/>
    <w:qFormat/>
    <w:uiPriority w:val="0"/>
  </w:style>
  <w:style w:type="character" w:customStyle="1" w:styleId="69">
    <w:name w:val="WW8Num3z3"/>
    <w:qFormat/>
    <w:uiPriority w:val="0"/>
  </w:style>
  <w:style w:type="character" w:customStyle="1" w:styleId="70">
    <w:name w:val="WW8Num3z4"/>
    <w:qFormat/>
    <w:uiPriority w:val="0"/>
  </w:style>
  <w:style w:type="character" w:customStyle="1" w:styleId="71">
    <w:name w:val="WW8Num3z5"/>
    <w:qFormat/>
    <w:uiPriority w:val="0"/>
  </w:style>
  <w:style w:type="character" w:customStyle="1" w:styleId="72">
    <w:name w:val="WW8Num3z6"/>
    <w:qFormat/>
    <w:uiPriority w:val="0"/>
  </w:style>
  <w:style w:type="character" w:customStyle="1" w:styleId="73">
    <w:name w:val="WW8Num3z7"/>
    <w:uiPriority w:val="0"/>
  </w:style>
  <w:style w:type="character" w:customStyle="1" w:styleId="74">
    <w:name w:val="WW8Num3z8"/>
    <w:qFormat/>
    <w:uiPriority w:val="0"/>
  </w:style>
  <w:style w:type="character" w:customStyle="1" w:styleId="75">
    <w:name w:val="WW8Num7z0"/>
    <w:qFormat/>
    <w:uiPriority w:val="0"/>
    <w:rPr>
      <w:rFonts w:hint="default" w:ascii="Symbol" w:hAnsi="Symbol" w:cs="Symbol"/>
    </w:rPr>
  </w:style>
  <w:style w:type="character" w:customStyle="1" w:styleId="76">
    <w:name w:val="WW8Num7z1"/>
    <w:qFormat/>
    <w:uiPriority w:val="0"/>
    <w:rPr>
      <w:rFonts w:hint="default" w:ascii="Courier New" w:hAnsi="Courier New" w:cs="Courier New"/>
    </w:rPr>
  </w:style>
  <w:style w:type="character" w:customStyle="1" w:styleId="77">
    <w:name w:val="WW8Num7z2"/>
    <w:qFormat/>
    <w:uiPriority w:val="0"/>
    <w:rPr>
      <w:rFonts w:hint="default" w:ascii="Wingdings" w:hAnsi="Wingdings" w:cs="Wingdings"/>
    </w:rPr>
  </w:style>
  <w:style w:type="character" w:customStyle="1" w:styleId="78">
    <w:name w:val="WW8Num7z3"/>
    <w:qFormat/>
    <w:uiPriority w:val="0"/>
  </w:style>
  <w:style w:type="character" w:customStyle="1" w:styleId="79">
    <w:name w:val="WW8Num7z4"/>
    <w:qFormat/>
    <w:uiPriority w:val="0"/>
  </w:style>
  <w:style w:type="character" w:customStyle="1" w:styleId="80">
    <w:name w:val="WW8Num7z5"/>
    <w:qFormat/>
    <w:uiPriority w:val="0"/>
  </w:style>
  <w:style w:type="character" w:customStyle="1" w:styleId="81">
    <w:name w:val="WW8Num7z6"/>
    <w:qFormat/>
    <w:uiPriority w:val="0"/>
  </w:style>
  <w:style w:type="character" w:customStyle="1" w:styleId="82">
    <w:name w:val="WW8Num7z7"/>
    <w:qFormat/>
    <w:uiPriority w:val="0"/>
  </w:style>
  <w:style w:type="character" w:customStyle="1" w:styleId="83">
    <w:name w:val="WW8Num7z8"/>
    <w:qFormat/>
    <w:uiPriority w:val="0"/>
  </w:style>
  <w:style w:type="character" w:customStyle="1" w:styleId="84">
    <w:name w:val="WW8Num8z0"/>
    <w:qFormat/>
    <w:uiPriority w:val="0"/>
    <w:rPr>
      <w:rFonts w:hint="default" w:ascii="Symbol" w:hAnsi="Symbol" w:cs="Symbol"/>
    </w:rPr>
  </w:style>
  <w:style w:type="character" w:customStyle="1" w:styleId="85">
    <w:name w:val="WW8Num8z1"/>
    <w:qFormat/>
    <w:uiPriority w:val="0"/>
    <w:rPr>
      <w:rFonts w:hint="default" w:ascii="Courier New" w:hAnsi="Courier New" w:cs="Courier New"/>
    </w:rPr>
  </w:style>
  <w:style w:type="character" w:customStyle="1" w:styleId="86">
    <w:name w:val="WW8Num8z2"/>
    <w:qFormat/>
    <w:uiPriority w:val="0"/>
    <w:rPr>
      <w:rFonts w:hint="default" w:ascii="Wingdings" w:hAnsi="Wingdings" w:cs="Wingdings"/>
    </w:rPr>
  </w:style>
  <w:style w:type="character" w:customStyle="1" w:styleId="87">
    <w:name w:val="WW8Num9z0"/>
    <w:qFormat/>
    <w:uiPriority w:val="0"/>
  </w:style>
  <w:style w:type="character" w:customStyle="1" w:styleId="88">
    <w:name w:val="WW8Num10z0"/>
    <w:qFormat/>
    <w:uiPriority w:val="0"/>
    <w:rPr>
      <w:rFonts w:hint="default" w:ascii="Symbol" w:hAnsi="Symbol" w:cs="Symbol"/>
    </w:rPr>
  </w:style>
  <w:style w:type="character" w:customStyle="1" w:styleId="89">
    <w:name w:val="WW8Num11z0"/>
    <w:qFormat/>
    <w:uiPriority w:val="0"/>
    <w:rPr>
      <w:position w:val="0"/>
      <w:sz w:val="24"/>
      <w:vertAlign w:val="baseline"/>
    </w:rPr>
  </w:style>
  <w:style w:type="character" w:customStyle="1" w:styleId="90">
    <w:name w:val="WW8Num11z1"/>
    <w:qFormat/>
    <w:uiPriority w:val="0"/>
  </w:style>
  <w:style w:type="character" w:customStyle="1" w:styleId="91">
    <w:name w:val="WW8Num11z2"/>
    <w:qFormat/>
    <w:uiPriority w:val="0"/>
  </w:style>
  <w:style w:type="character" w:customStyle="1" w:styleId="92">
    <w:name w:val="WW8Num11z3"/>
    <w:qFormat/>
    <w:uiPriority w:val="0"/>
  </w:style>
  <w:style w:type="character" w:customStyle="1" w:styleId="93">
    <w:name w:val="WW8Num11z4"/>
    <w:qFormat/>
    <w:uiPriority w:val="0"/>
  </w:style>
  <w:style w:type="character" w:customStyle="1" w:styleId="94">
    <w:name w:val="WW8Num11z5"/>
    <w:qFormat/>
    <w:uiPriority w:val="0"/>
  </w:style>
  <w:style w:type="character" w:customStyle="1" w:styleId="95">
    <w:name w:val="WW8Num11z6"/>
    <w:qFormat/>
    <w:uiPriority w:val="0"/>
  </w:style>
  <w:style w:type="character" w:customStyle="1" w:styleId="96">
    <w:name w:val="WW8Num11z7"/>
    <w:qFormat/>
    <w:uiPriority w:val="0"/>
  </w:style>
  <w:style w:type="character" w:customStyle="1" w:styleId="97">
    <w:name w:val="WW8Num11z8"/>
    <w:qFormat/>
    <w:uiPriority w:val="0"/>
  </w:style>
  <w:style w:type="character" w:customStyle="1" w:styleId="98">
    <w:name w:val="Основной шрифт абзаца1"/>
    <w:qFormat/>
    <w:uiPriority w:val="0"/>
  </w:style>
  <w:style w:type="character" w:customStyle="1" w:styleId="99">
    <w:name w:val="Font Style13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00">
    <w:name w:val="Символ нумерации"/>
    <w:qFormat/>
    <w:uiPriority w:val="0"/>
  </w:style>
  <w:style w:type="character" w:customStyle="1" w:styleId="101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102">
    <w:name w:val="RTF_Num 2 1"/>
    <w:qFormat/>
    <w:uiPriority w:val="0"/>
    <w:rPr>
      <w:rFonts w:ascii="Symbol" w:hAnsi="Symbol" w:eastAsia="Symbol" w:cs="Symbol"/>
    </w:rPr>
  </w:style>
  <w:style w:type="character" w:customStyle="1" w:styleId="103">
    <w:name w:val="RTF_Num 2 2"/>
    <w:qFormat/>
    <w:uiPriority w:val="0"/>
    <w:rPr>
      <w:rFonts w:ascii="Courier New" w:hAnsi="Courier New" w:eastAsia="Courier New" w:cs="Courier New"/>
    </w:rPr>
  </w:style>
  <w:style w:type="character" w:customStyle="1" w:styleId="104">
    <w:name w:val="RTF_Num 2 3"/>
    <w:qFormat/>
    <w:uiPriority w:val="0"/>
    <w:rPr>
      <w:rFonts w:ascii="Wingdings" w:hAnsi="Wingdings" w:eastAsia="Wingdings" w:cs="Wingdings"/>
    </w:rPr>
  </w:style>
  <w:style w:type="character" w:customStyle="1" w:styleId="105">
    <w:name w:val="RTF_Num 2 4"/>
    <w:qFormat/>
    <w:uiPriority w:val="0"/>
    <w:rPr>
      <w:rFonts w:ascii="Symbol" w:hAnsi="Symbol" w:eastAsia="Symbol" w:cs="Symbol"/>
    </w:rPr>
  </w:style>
  <w:style w:type="character" w:customStyle="1" w:styleId="106">
    <w:name w:val="RTF_Num 2 5"/>
    <w:qFormat/>
    <w:uiPriority w:val="0"/>
    <w:rPr>
      <w:rFonts w:ascii="Courier New" w:hAnsi="Courier New" w:eastAsia="Courier New" w:cs="Courier New"/>
    </w:rPr>
  </w:style>
  <w:style w:type="character" w:customStyle="1" w:styleId="107">
    <w:name w:val="RTF_Num 2 6"/>
    <w:qFormat/>
    <w:uiPriority w:val="0"/>
    <w:rPr>
      <w:rFonts w:ascii="Wingdings" w:hAnsi="Wingdings" w:eastAsia="Wingdings" w:cs="Wingdings"/>
    </w:rPr>
  </w:style>
  <w:style w:type="character" w:customStyle="1" w:styleId="108">
    <w:name w:val="RTF_Num 2 7"/>
    <w:qFormat/>
    <w:uiPriority w:val="0"/>
    <w:rPr>
      <w:rFonts w:ascii="Symbol" w:hAnsi="Symbol" w:eastAsia="Symbol" w:cs="Symbol"/>
    </w:rPr>
  </w:style>
  <w:style w:type="character" w:customStyle="1" w:styleId="109">
    <w:name w:val="RTF_Num 2 8"/>
    <w:qFormat/>
    <w:uiPriority w:val="0"/>
    <w:rPr>
      <w:rFonts w:ascii="Courier New" w:hAnsi="Courier New" w:eastAsia="Courier New" w:cs="Courier New"/>
    </w:rPr>
  </w:style>
  <w:style w:type="character" w:customStyle="1" w:styleId="110">
    <w:name w:val="RTF_Num 2 9"/>
    <w:qFormat/>
    <w:uiPriority w:val="0"/>
    <w:rPr>
      <w:rFonts w:ascii="Wingdings" w:hAnsi="Wingdings" w:eastAsia="Wingdings" w:cs="Wingdings"/>
    </w:rPr>
  </w:style>
  <w:style w:type="paragraph" w:customStyle="1" w:styleId="111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13">
    <w:name w:val="Содержимое таблицы"/>
    <w:basedOn w:val="1"/>
    <w:qFormat/>
    <w:uiPriority w:val="0"/>
    <w:pPr>
      <w:suppressLineNumbers/>
    </w:pPr>
  </w:style>
  <w:style w:type="paragraph" w:customStyle="1" w:styleId="114">
    <w:name w:val="Заголовок таблицы"/>
    <w:basedOn w:val="113"/>
    <w:qFormat/>
    <w:uiPriority w:val="0"/>
    <w:pPr>
      <w:jc w:val="center"/>
    </w:pPr>
    <w:rPr>
      <w:b/>
      <w:bCs/>
    </w:rPr>
  </w:style>
  <w:style w:type="paragraph" w:customStyle="1" w:styleId="115">
    <w:name w:val="ConsPlusTitle"/>
    <w:qFormat/>
    <w:uiPriority w:val="0"/>
    <w:pPr>
      <w:suppressAutoHyphens/>
      <w:autoSpaceDE w:val="0"/>
    </w:pPr>
    <w:rPr>
      <w:rFonts w:ascii="Arial" w:hAnsi="Arial" w:eastAsia="Calibri" w:cs="Arial"/>
      <w:b/>
      <w:bCs/>
      <w:lang w:val="ru-RU" w:eastAsia="ar-SA" w:bidi="ar-SA"/>
    </w:rPr>
  </w:style>
  <w:style w:type="paragraph" w:customStyle="1" w:styleId="116">
    <w:name w:val="ConsPlusNormal"/>
    <w:qFormat/>
    <w:uiPriority w:val="0"/>
    <w:pPr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17">
    <w:name w:val="П3fр3fи3fж3fа3fт3fы3fй3f в3fл3fе3fв3fо3f"/>
    <w:basedOn w:val="1"/>
    <w:next w:val="1"/>
    <w:qFormat/>
    <w:uiPriority w:val="0"/>
    <w:rPr>
      <w:sz w:val="24"/>
    </w:rPr>
  </w:style>
  <w:style w:type="paragraph" w:customStyle="1" w:styleId="118">
    <w:name w:val="Заголовок 11"/>
    <w:basedOn w:val="1"/>
    <w:next w:val="1"/>
    <w:qFormat/>
    <w:uiPriority w:val="0"/>
    <w:pPr>
      <w:numPr>
        <w:ilvl w:val="0"/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19">
    <w:name w:val="Заголовок 10"/>
    <w:basedOn w:val="8"/>
    <w:next w:val="9"/>
    <w:qFormat/>
    <w:uiPriority w:val="0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120">
    <w:name w:val="Прижатый влево"/>
    <w:basedOn w:val="1"/>
    <w:next w:val="1"/>
    <w:qFormat/>
    <w:uiPriority w:val="99"/>
    <w:pPr>
      <w:autoSpaceDE w:val="0"/>
    </w:pPr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2C4F9-D2BA-416C-96F6-6897F6F45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ГАП Ресурс</Company>
  <Pages>8</Pages>
  <Words>2371</Words>
  <Characters>13519</Characters>
  <Lines>112</Lines>
  <Paragraphs>31</Paragraphs>
  <TotalTime>1</TotalTime>
  <ScaleCrop>false</ScaleCrop>
  <LinksUpToDate>false</LinksUpToDate>
  <CharactersWithSpaces>15859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2022-10-06T13:42:00Z</dcterms:created>
  <dc:creator>Панов Ю.Л.</dc:creator>
  <cp:lastModifiedBy>supp1562</cp:lastModifiedBy>
  <cp:lastPrinted>2023-04-04T07:12:00Z</cp:lastPrinted>
  <dcterms:modified xsi:type="dcterms:W3CDTF">2023-04-17T06:18:50Z</dcterms:modified>
  <dc:title>АДЫГЭ РЕСПУБЛИКЭМКIЭ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55A5B4CF541C477AB81375BFD2575847</vt:lpwstr>
  </property>
</Properties>
</file>